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Digital Tool Checklist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Tool Name</w:t>
      </w:r>
      <w:r w:rsidDel="00000000" w:rsidR="00000000" w:rsidRPr="00000000">
        <w:rPr>
          <w:rtl w:val="0"/>
        </w:rPr>
        <w:t xml:space="preserve"> ______________________________________ </w:t>
        <w:tab/>
      </w:r>
      <w:r w:rsidDel="00000000" w:rsidR="00000000" w:rsidRPr="00000000">
        <w:rPr>
          <w:b w:val="1"/>
          <w:rtl w:val="0"/>
        </w:rPr>
        <w:t xml:space="preserve">Price </w:t>
      </w:r>
      <w:r w:rsidDel="00000000" w:rsidR="00000000" w:rsidRPr="00000000">
        <w:rPr>
          <w:rtl w:val="0"/>
        </w:rPr>
        <w:t xml:space="preserve">_____________________________</w:t>
        <w:tab/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Link </w:t>
      </w:r>
      <w:r w:rsidDel="00000000" w:rsidR="00000000" w:rsidRPr="00000000">
        <w:rPr>
          <w:rtl w:val="0"/>
        </w:rPr>
        <w:t xml:space="preserve">____________________________________________</w:t>
        <w:tab/>
      </w:r>
      <w:r w:rsidDel="00000000" w:rsidR="00000000" w:rsidRPr="00000000">
        <w:rPr>
          <w:b w:val="1"/>
          <w:rtl w:val="0"/>
        </w:rPr>
        <w:t xml:space="preserve">Requestor </w:t>
      </w:r>
      <w:r w:rsidDel="00000000" w:rsidR="00000000" w:rsidRPr="00000000">
        <w:rPr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Purpose and Alignment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This tools meets a specific need within my classroom.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This tool is aligned to my academic standards.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This tool is developmentally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Educational Best Practice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This tool allows for differentiation and customization of learning.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This tool provides accessibility for all learners.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This tool facilitates the development of information and technology literacy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User-friendliness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This tool has an intuitive interface.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This tool supports independent student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and Privacy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This tool has a clear privacy policy and terms of service.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This tool will not use any data to advertise or market to students or their parents.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The provider of this tool will employ safeguards to secure data from unauthorized access, disclosure, and use.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This tool will not share data with any additional parties without the express consent of the user.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Logistics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This tool offers a simple method for student sign-on. (check any that apply)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Rule="auto"/>
        <w:ind w:left="144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Class Code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Rule="auto"/>
        <w:ind w:left="144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Google Single Sign-on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Rule="auto"/>
        <w:ind w:left="144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Google Classroom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Rule="auto"/>
        <w:ind w:left="144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No Sign-in Required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200" w:lineRule="auto"/>
        <w:ind w:left="144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Other: 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This tool is compatible with district devices.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This tool is free or reasonably-priced.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This tool supports sharing and integration with other platforms.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