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You went to school wearing a ribbon shirt, a girl who sits next to you on the bus starts making fun of you. What would you tell them about your skirt to make them understand why you love it?</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You went to school wearing a ribbon shirt, a boy who sits next to you during lunch starts to tease you about it. What would you tell him about your shirt to make them understand why you why it’s important to you?</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You heard a kid in your grade making fun of your little brother’s long hair, how would you handle this? What would you say to that kid?</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You brought wild rice for lunch and a kid who sits next to you at lunch said it looks gross and asks if you’re really going to eat that? What would you say?</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Your school puts on a powwow to help Non Native students understand Native American culture. A student quietly teases you about your regalia, how would you react?</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You over hear a student making fun of sweat lodge ceremonies. What would you say to help this student understand a sweat lodge?</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You are outside at recess and a student begins to make fun of you. He calls you a savage. How would you handle this?</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You are in the library doing a research project with classmates. You are wearing beaded earrings and a classmate begins to tell everyone she thinks your earrings are weird and ugly. How would you react to this?</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You are outside for recess playing basketball, another boy starts making fun of your brown skin. What would you say to this boy?</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A boy at your school asks you, “Why do you live on the reservation? There’s nothing but drunks there.” How would you respond to help this boy understand the beauty of your reservation?</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A girl at your school makes fun of you for wearing a tobacco pouch necklace. What could you say to this girl to help her understand why you’re wearing the necklace? </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